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22384"/>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30932"/>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2062"/>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0"/>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3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1228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130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627"/>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8882"/>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092"/>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3338"/>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3563"/>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3767"/>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4119"/>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21921"/>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9879"/>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2064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3970"/>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6544"/>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15906"/>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563"/>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9231"/>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328"/>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17674"/>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59"/>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22962"/>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8902"/>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28561"/>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6539"/>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4415"/>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5421"/>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9335"/>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068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：当前通道处理结算业务，会对停车记录进行计费结算操作，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w:t>
      </w:r>
      <w:bookmarkStart w:id="256" w:name="_GoBack"/>
      <w:bookmarkEnd w:id="256"/>
      <w:r>
        <w:rPr>
          <w:rFonts w:hint="eastAsia" w:ascii="微软雅黑" w:hAnsi="微软雅黑" w:eastAsia="微软雅黑" w:cs="微软雅黑"/>
          <w:b w:val="0"/>
          <w:bCs/>
          <w:kern w:val="2"/>
          <w:sz w:val="24"/>
          <w:szCs w:val="24"/>
          <w:lang w:val="en-US" w:eastAsia="zh-CN" w:bidi="ar-SA"/>
        </w:rPr>
        <w:t>延时结算即当前通道请求计费只形成账单，不做结算操作，推延到车辆经过实时结算通道再处理结算业务；非合并，即整次停车中对同一区域不同时间段的账单不进行合并，此时整次停车中同一区域不同时段的账单可分别计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1455"/>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30298"/>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6900"/>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537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30766"/>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460"/>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3524"/>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2803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8874"/>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8455"/>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075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11381"/>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11960"/>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537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19596"/>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5075"/>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11510"/>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26517"/>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2785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10314"/>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393"/>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2039"/>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18033"/>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190"/>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586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0022"/>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22633"/>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32537"/>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31312"/>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874"/>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855"/>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5419"/>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20490"/>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748"/>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5111"/>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9583"/>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12018"/>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30555"/>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424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775"/>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20856"/>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19983"/>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1732"/>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22282"/>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0068"/>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8755"/>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24203"/>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4629"/>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2150"/>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6728"/>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4128"/>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0000"/>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11836"/>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5504"/>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135254"/>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1F5642"/>
    <w:rsid w:val="2E986040"/>
    <w:rsid w:val="2E9B45AB"/>
    <w:rsid w:val="2EBD7ECF"/>
    <w:rsid w:val="2ED10ADC"/>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3B129BB"/>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2018-04-18T12:50:19Z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